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Times New Roman" w:hAnsi="Times New Roman" w:eastAsia="Times New Roman"/>
          <w:b/>
          <w:sz w:val="30"/>
        </w:rPr>
        <w:t>EMLAK SATIŞ / KİRALAMA YETKİ (ARACILIK) SÖZLEŞMESİ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1 – TARAFLAR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MÜLK SAHİBİ: Ad Soyad / Unvan: ……………………………………   T.C. Kimlik No: ………………   Telefon: ………………   Adres: ……………………………………</w:t>
        <w:br/>
      </w:r>
      <w:r>
        <w:rPr>
          <w:rFonts w:ascii="Times New Roman" w:hAnsi="Times New Roman" w:eastAsia="Times New Roman"/>
          <w:b w:val="0"/>
          <w:sz w:val="22"/>
        </w:rPr>
        <w:t>EMLAK DANIŞMANI: Ad Soyad / Unvan: ……………………………………   Taşınmaz Ticareti Yetki Belgesi No: ………………   Telefon: ………………   Adres: ……………………………………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2 – KONU TAŞINMAZ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Adres: ……………………………………   Ada / Parsel / Bağımsız Bölüm No: ………………   Nitelik: ………………</w:t>
        <w:br/>
      </w:r>
      <w:r>
        <w:rPr>
          <w:rFonts w:ascii="Times New Roman" w:hAnsi="Times New Roman" w:eastAsia="Times New Roman"/>
          <w:b w:val="0"/>
          <w:sz w:val="22"/>
        </w:rPr>
        <w:t>İşlem türü: Satış ☐   Kiralama ☐   Hedef bedel: ……………… TL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3 – YETKİ VE SÜRE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Mülk sahibi, danışmana taşınmazın satışı/kiralanması için aracılık yetkisi verir. Yetki ……………… tarihinden ……………… tarihine kadar geçerlidir. Yetki, tek yetkili (münhasır) ☐ / çoklu yetkili ☐ niteliktedir.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4 – DANIŞMANIN YÜKÜMLÜLÜKLERİ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Danışman; taşınmazın tanıtımını yapar, alıcı/kiracı adaylarıyla görüşür, gösterim ve pazarlık sürecini yürütür, belgelerin hazırlanmasında yardımcı olur ve gelişmeler hakkında mülk sahibini bilgilendirir.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5 – HİZMET BEDELİ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Satışta hizmet bedeli satış bedelinin KDV hariç %………………'idir (yasal üst sınır %4). Kiralamada hizmet bedeli KDV hariç ……………… aylık kira tutarıdır (yasal üst sınır bir aylık kira). Hizmet bedeli, aracılık edilen sözleşme kurulduğunda doğar. Bedel, Mülk sahibinden ☐ / Alıcı-kiracıdan ☐ / Eşit paylaşımlı ☐ alınır. KDV ayrıca eklenir.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6 – GİDERLER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Fotoğraf, reklam ve tanıtım giderleri danışmana ait ☐ / mülk sahibine ait ☐ (tutar: ……………… TL).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7 – MÜLK SAHİBİNİN BEYANI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Mülk sahibi, taşınmazın maliki veya yetkili temsilcisi olduğunu, üzerinde ipotek/haciz/şerh bulunmadığını (varsa: ……………………………………) beyan eder ve gerekli belgeleri (tapu, kimlik, DASK) danışmana verir.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8 – SONA ERME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Taraflar, yazılı bildirimle sözleşmeyi sona erdirebilir. Yetki süresi içinde danışmanın tanıttığı kişilerle yapılacak işlemlerde hizmet bedeli doğar: ……………………………………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9 – GİZLİLİK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Taraflar, kişisel verileri ve bu sözleşme kapsamında öğrendikleri bilgileri yalnızca sözleşme amacıyla kullanır.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MADDE 10 – YETKİ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Bu sözleşmeden doğacak uyuşmazlıklarda taşınmazın bulunduğu yer mahkemeleri ve icra daireleri yetkilidir.</w:t>
      </w:r>
    </w:p>
    <w:p>
      <w:pPr>
        <w:spacing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MÜLK SAHİBİ</w:t>
            </w:r>
          </w:p>
        </w:tc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EMLAK DANIŞMANI</w:t>
            </w:r>
          </w:p>
        </w:tc>
      </w:tr>
      <w:tr>
        <w:tc>
          <w:tcPr>
            <w:tcW w:type="dxa" w:w="4706"/>
          </w:tcPr>
          <w:p>
            <w:pPr>
              <w:spacing w:before="68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</w:tc>
        <w:tc>
          <w:tcPr>
            <w:tcW w:type="dxa" w:w="4706"/>
          </w:tcPr>
          <w:p>
            <w:pPr>
              <w:spacing w:before="68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</w:tc>
      </w:tr>
      <w:tr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Ad Soyad / Tarih / İmza</w:t>
            </w:r>
          </w:p>
        </w:tc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Ad Soyad / Tarih / İmza</w:t>
            </w:r>
          </w:p>
        </w:tc>
      </w:tr>
    </w:tbl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Emlak Satış / Kiralama Yetki (Aracılık) Sözleşmesi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